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 w:after="120"/>
        <w:jc w:val="center"/>
        <w:rPr/>
      </w:pPr>
      <w:r>
        <w:rPr/>
        <w:t>Obec Střítež</w:t>
        <w:br/>
        <w:t>Zastupitelstvo obce Střítež</w:t>
      </w:r>
    </w:p>
    <w:p>
      <w:pPr>
        <w:pStyle w:val="Heading1"/>
        <w:numPr>
          <w:ilvl w:val="0"/>
          <w:numId w:val="1"/>
        </w:numPr>
        <w:tabs>
          <w:tab w:val="clear" w:pos="709"/>
          <w:tab w:val="left" w:pos="0" w:leader="none"/>
        </w:tabs>
        <w:rPr/>
      </w:pPr>
      <w:r>
        <w:rPr/>
        <w:t>Obecně závazná vyhláška obce Střítež</w:t>
        <w:br/>
        <w:t>o nočním klidu</w:t>
      </w:r>
    </w:p>
    <w:p>
      <w:pPr>
        <w:pStyle w:val="UvodniVeta"/>
        <w:rPr/>
      </w:pPr>
      <w:r>
        <w:rPr/>
      </w:r>
    </w:p>
    <w:p>
      <w:pPr>
        <w:pStyle w:val="UvodniVeta"/>
        <w:spacing w:before="119" w:after="177"/>
        <w:rPr/>
      </w:pPr>
      <w:r>
        <w:rPr/>
        <w:t>Zastupitelstvo obce Střítež se na svém zasedání dne 18. června 2024 usneslo vydat na základě ustanovení § 10 písm. d) a ustanovení § 84 odst. 2 písm. h) zákona č. 128/2000 Sb., o obcích (obecní zřízení), ve znění pozdějších předpisů, a na základě ustanovení § 5 odst. 7 zákona č. 251/2016 Sb., o některých přestupcích, tuto obecně závaznou vyhlášku (dále jen „vyhláška“):</w:t>
      </w:r>
    </w:p>
    <w:p>
      <w:pPr>
        <w:pStyle w:val="UvodniVeta"/>
        <w:spacing w:before="119" w:after="177"/>
        <w:rPr/>
      </w:pPr>
      <w:r>
        <w:rPr/>
      </w:r>
    </w:p>
    <w:p>
      <w:pPr>
        <w:pStyle w:val="UvodniVeta"/>
        <w:spacing w:before="5" w:after="63"/>
        <w:jc w:val="center"/>
        <w:rPr>
          <w:b/>
          <w:bCs/>
          <w:sz w:val="24"/>
          <w:szCs w:val="24"/>
        </w:rPr>
      </w:pPr>
      <w:r>
        <w:rPr>
          <w:b/>
          <w:bCs/>
          <w:sz w:val="24"/>
          <w:szCs w:val="24"/>
        </w:rPr>
        <w:t>Čl. 1</w:t>
      </w:r>
    </w:p>
    <w:p>
      <w:pPr>
        <w:pStyle w:val="UvodniVeta"/>
        <w:spacing w:before="5" w:after="63"/>
        <w:jc w:val="center"/>
        <w:rPr>
          <w:b/>
          <w:bCs/>
          <w:sz w:val="24"/>
          <w:szCs w:val="24"/>
        </w:rPr>
      </w:pPr>
      <w:r>
        <w:rPr>
          <w:b/>
          <w:bCs/>
          <w:sz w:val="24"/>
          <w:szCs w:val="24"/>
        </w:rPr>
        <w:t>Předmět</w:t>
      </w:r>
    </w:p>
    <w:p>
      <w:pPr>
        <w:pStyle w:val="UvodniVeta"/>
        <w:rPr/>
      </w:pPr>
      <w:r>
        <w:rPr/>
        <w:t>Předmětem této obecně závazné vyhlášky je stanovení výjimečných případů, při nichž se doba nočního klidu nevymezuje, nebo je doba nočního klidu vymezena dobou kratší.</w:t>
      </w:r>
    </w:p>
    <w:p>
      <w:pPr>
        <w:pStyle w:val="UvodniVeta"/>
        <w:rPr/>
      </w:pPr>
      <w:r>
        <w:rPr/>
      </w:r>
    </w:p>
    <w:p>
      <w:pPr>
        <w:pStyle w:val="UvodniVeta"/>
        <w:spacing w:before="5" w:after="63"/>
        <w:jc w:val="center"/>
        <w:rPr>
          <w:b/>
          <w:bCs/>
          <w:sz w:val="24"/>
          <w:szCs w:val="24"/>
        </w:rPr>
      </w:pPr>
      <w:r>
        <w:rPr>
          <w:b/>
          <w:bCs/>
          <w:sz w:val="24"/>
          <w:szCs w:val="24"/>
        </w:rPr>
        <w:t>Čl. 2</w:t>
      </w:r>
    </w:p>
    <w:p>
      <w:pPr>
        <w:pStyle w:val="UvodniVeta"/>
        <w:spacing w:before="5" w:after="63"/>
        <w:jc w:val="center"/>
        <w:rPr>
          <w:b/>
          <w:bCs/>
          <w:sz w:val="24"/>
          <w:szCs w:val="24"/>
        </w:rPr>
      </w:pPr>
      <w:r>
        <w:rPr>
          <w:b/>
          <w:bCs/>
          <w:sz w:val="24"/>
          <w:szCs w:val="24"/>
        </w:rPr>
        <w:t>Doba nočního klidu</w:t>
      </w:r>
    </w:p>
    <w:p>
      <w:pPr>
        <w:pStyle w:val="UvodniVeta"/>
        <w:rPr/>
      </w:pPr>
      <w:r>
        <w:rPr/>
        <w:t>Dobou nočního klidu se rozumí doba od dvacáté druhé hodiny daného dne do šesté hodiny následujícího dne.</w:t>
      </w:r>
      <w:r>
        <w:rPr>
          <w:rStyle w:val="FootnoteReference"/>
          <w:b/>
          <w:bCs/>
        </w:rPr>
        <w:footnoteReference w:id="2"/>
      </w:r>
    </w:p>
    <w:p>
      <w:pPr>
        <w:pStyle w:val="UvodniVeta"/>
        <w:rPr/>
      </w:pPr>
      <w:r>
        <w:rPr/>
      </w:r>
    </w:p>
    <w:p>
      <w:pPr>
        <w:pStyle w:val="UvodniVeta"/>
        <w:spacing w:before="5" w:after="63"/>
        <w:jc w:val="center"/>
        <w:rPr>
          <w:b/>
          <w:bCs/>
          <w:sz w:val="24"/>
          <w:szCs w:val="24"/>
        </w:rPr>
      </w:pPr>
      <w:r>
        <w:rPr>
          <w:b/>
          <w:bCs/>
          <w:sz w:val="24"/>
          <w:szCs w:val="24"/>
        </w:rPr>
        <w:t>Čl. 3</w:t>
      </w:r>
    </w:p>
    <w:p>
      <w:pPr>
        <w:pStyle w:val="UvodniVeta"/>
        <w:spacing w:before="5" w:after="63"/>
        <w:jc w:val="center"/>
        <w:rPr>
          <w:b/>
          <w:bCs/>
          <w:sz w:val="24"/>
          <w:szCs w:val="24"/>
        </w:rPr>
      </w:pPr>
      <w:r>
        <w:rPr>
          <w:b/>
          <w:bCs/>
          <w:sz w:val="24"/>
          <w:szCs w:val="24"/>
        </w:rPr>
        <w:t>Stanovení výjimečných případů, při nichž je doba nočního klidu vymezena dobou kratší, nebo při nichž se doba nočního klidu nevymezuje</w:t>
      </w:r>
    </w:p>
    <w:p>
      <w:pPr>
        <w:pStyle w:val="UvodniVeta"/>
        <w:spacing w:before="5" w:after="63"/>
        <w:jc w:val="center"/>
        <w:rPr>
          <w:b/>
          <w:bCs/>
          <w:sz w:val="24"/>
          <w:szCs w:val="24"/>
        </w:rPr>
      </w:pPr>
      <w:r>
        <w:rPr>
          <w:b/>
          <w:bCs/>
          <w:sz w:val="24"/>
          <w:szCs w:val="24"/>
        </w:rPr>
      </w:r>
    </w:p>
    <w:p>
      <w:pPr>
        <w:pStyle w:val="UvodniVeta"/>
        <w:numPr>
          <w:ilvl w:val="0"/>
          <w:numId w:val="2"/>
        </w:numPr>
        <w:rPr/>
      </w:pPr>
      <w:r>
        <w:rPr/>
        <w:t>Doba nočního klidu se vymezuje od 24:00 do 06:00 hodin, a to v následujících případech:</w:t>
      </w:r>
    </w:p>
    <w:p>
      <w:pPr>
        <w:pStyle w:val="Normal"/>
        <w:numPr>
          <w:ilvl w:val="1"/>
          <w:numId w:val="3"/>
        </w:numPr>
        <w:spacing w:before="57" w:after="57"/>
        <w:rPr>
          <w:rFonts w:ascii="Arial" w:hAnsi="Arial" w:cs="Arial"/>
          <w:sz w:val="22"/>
          <w:szCs w:val="22"/>
        </w:rPr>
      </w:pPr>
      <w:r>
        <w:rPr>
          <w:rFonts w:cs="Arial" w:ascii="Arial" w:hAnsi="Arial"/>
          <w:sz w:val="22"/>
          <w:szCs w:val="22"/>
        </w:rPr>
        <w:t>v noci z pátku na sobotu a v noci ze soboty na neděli, kdy bude probíhat promítání filmů v rámci akce „Letní kino“ – v měsíci červenci</w:t>
      </w:r>
    </w:p>
    <w:p>
      <w:pPr>
        <w:pStyle w:val="Normal"/>
        <w:numPr>
          <w:ilvl w:val="1"/>
          <w:numId w:val="3"/>
        </w:numPr>
        <w:spacing w:before="57" w:after="57"/>
        <w:rPr>
          <w:rFonts w:ascii="Arial" w:hAnsi="Arial" w:cs="Arial"/>
          <w:sz w:val="22"/>
          <w:szCs w:val="22"/>
        </w:rPr>
      </w:pPr>
      <w:r>
        <w:rPr>
          <w:rFonts w:cs="Arial" w:ascii="Arial" w:hAnsi="Arial"/>
          <w:sz w:val="22"/>
          <w:szCs w:val="22"/>
        </w:rPr>
        <w:t xml:space="preserve">v noci ze soboty na neděli, </w:t>
      </w:r>
      <w:bookmarkStart w:id="0" w:name="_Hlk169597807"/>
      <w:r>
        <w:rPr>
          <w:rFonts w:cs="Arial" w:ascii="Arial" w:hAnsi="Arial"/>
          <w:sz w:val="22"/>
          <w:szCs w:val="22"/>
        </w:rPr>
        <w:t xml:space="preserve">v rámci tradiční a každoročně se opakující akce </w:t>
      </w:r>
      <w:bookmarkEnd w:id="0"/>
      <w:r>
        <w:rPr>
          <w:rFonts w:cs="Arial" w:ascii="Arial" w:hAnsi="Arial"/>
          <w:sz w:val="22"/>
          <w:szCs w:val="22"/>
        </w:rPr>
        <w:t>„Svatodušní pouť“</w:t>
      </w:r>
    </w:p>
    <w:p>
      <w:pPr>
        <w:pStyle w:val="Normal"/>
        <w:numPr>
          <w:ilvl w:val="1"/>
          <w:numId w:val="3"/>
        </w:numPr>
        <w:spacing w:before="57" w:after="57"/>
        <w:rPr>
          <w:rFonts w:ascii="Arial" w:hAnsi="Arial" w:cs="Arial"/>
          <w:sz w:val="22"/>
          <w:szCs w:val="22"/>
        </w:rPr>
      </w:pPr>
      <w:r>
        <w:rPr>
          <w:rFonts w:cs="Arial" w:ascii="Arial" w:hAnsi="Arial"/>
          <w:sz w:val="22"/>
          <w:szCs w:val="22"/>
        </w:rPr>
        <w:t>v noci ze soboty na první adventní neděli, v rámci akce „Rozsvícení vánočního stromu“</w:t>
      </w:r>
    </w:p>
    <w:p>
      <w:pPr>
        <w:pStyle w:val="Normal"/>
        <w:spacing w:before="57" w:after="57"/>
        <w:ind w:left="1080"/>
        <w:rPr>
          <w:rFonts w:ascii="Arial" w:hAnsi="Arial" w:cs="Arial"/>
          <w:sz w:val="22"/>
          <w:szCs w:val="22"/>
        </w:rPr>
      </w:pPr>
      <w:r>
        <w:rPr>
          <w:rFonts w:cs="Arial" w:ascii="Arial" w:hAnsi="Arial"/>
          <w:sz w:val="22"/>
          <w:szCs w:val="22"/>
        </w:rPr>
      </w:r>
    </w:p>
    <w:p>
      <w:pPr>
        <w:pStyle w:val="UvodniVeta"/>
        <w:numPr>
          <w:ilvl w:val="0"/>
          <w:numId w:val="2"/>
        </w:numPr>
        <w:rPr/>
      </w:pPr>
      <w:r>
        <w:rPr/>
        <w:t>Doba nočního klidu se vymezuje od 01:00 do 06:00 hodin, a to v následujících případech:</w:t>
      </w:r>
    </w:p>
    <w:p>
      <w:pPr>
        <w:pStyle w:val="UvodniVeta"/>
        <w:numPr>
          <w:ilvl w:val="1"/>
          <w:numId w:val="2"/>
        </w:numPr>
        <w:spacing w:before="62" w:after="0"/>
        <w:rPr/>
      </w:pPr>
      <w:r>
        <w:rPr/>
        <w:t>v noci z 31. prosince na 1. ledna z důvodu konání oslav příchodu nového roku</w:t>
      </w:r>
    </w:p>
    <w:p>
      <w:pPr>
        <w:pStyle w:val="UvodniVeta"/>
        <w:numPr>
          <w:ilvl w:val="1"/>
          <w:numId w:val="2"/>
        </w:numPr>
        <w:spacing w:before="62" w:after="0"/>
        <w:rPr/>
      </w:pPr>
      <w:r>
        <w:rPr/>
        <w:t>v noci z 30. dubna na 1. května z důvodu konání akce pálení čarodějnic</w:t>
      </w:r>
    </w:p>
    <w:p>
      <w:pPr>
        <w:pStyle w:val="Normal"/>
        <w:numPr>
          <w:ilvl w:val="1"/>
          <w:numId w:val="2"/>
        </w:numPr>
        <w:rPr>
          <w:rFonts w:ascii="Arial" w:hAnsi="Arial" w:cs="Arial"/>
          <w:sz w:val="22"/>
          <w:szCs w:val="22"/>
        </w:rPr>
      </w:pPr>
      <w:r>
        <w:rPr>
          <w:rFonts w:cs="Arial" w:ascii="Arial" w:hAnsi="Arial"/>
          <w:sz w:val="22"/>
          <w:szCs w:val="22"/>
        </w:rPr>
        <w:t>v noci ze soboty na neděli, v rámci tradiční a každoročně se opakující akce „Ostatky“</w:t>
      </w:r>
    </w:p>
    <w:p>
      <w:pPr>
        <w:pStyle w:val="Normal"/>
        <w:numPr>
          <w:ilvl w:val="1"/>
          <w:numId w:val="2"/>
        </w:numPr>
        <w:spacing w:before="0" w:after="57"/>
        <w:rPr>
          <w:rFonts w:ascii="Arial" w:hAnsi="Arial" w:cs="Arial"/>
          <w:sz w:val="22"/>
          <w:szCs w:val="22"/>
        </w:rPr>
      </w:pPr>
      <w:r>
        <w:rPr>
          <w:rFonts w:cs="Arial" w:ascii="Arial" w:hAnsi="Arial"/>
          <w:sz w:val="22"/>
          <w:szCs w:val="22"/>
        </w:rPr>
        <w:t>v noci ze soboty na neděli v rámci akce Myslivecká noc, která se koná poslední sobotu měsíce srpna</w:t>
      </w:r>
    </w:p>
    <w:p>
      <w:pPr>
        <w:pStyle w:val="UvodniVeta"/>
        <w:rPr/>
      </w:pPr>
      <w:r>
        <w:rPr/>
      </w:r>
    </w:p>
    <w:p>
      <w:pPr>
        <w:pStyle w:val="UvodniVeta"/>
        <w:numPr>
          <w:ilvl w:val="0"/>
          <w:numId w:val="2"/>
        </w:numPr>
        <w:rPr/>
      </w:pPr>
      <w:r>
        <w:rPr/>
        <w:t>Informace o konkrétním termínu konání akcí uvedených v bodě 1 písm. a) a b) a v bodě 2 písm. c) tohoto článku obecně závazné vyhlášky, bude zveřejněna obecním úřadem na úřední desce minimálně 7 dnů před datem konání.</w:t>
      </w:r>
    </w:p>
    <w:p>
      <w:pPr>
        <w:pStyle w:val="UvodniVeta"/>
        <w:spacing w:before="5" w:after="63"/>
        <w:jc w:val="center"/>
        <w:rPr/>
      </w:pPr>
      <w:r>
        <w:rPr/>
      </w:r>
    </w:p>
    <w:p>
      <w:pPr>
        <w:pStyle w:val="UvodniVeta"/>
        <w:spacing w:before="5" w:after="63"/>
        <w:jc w:val="center"/>
        <w:rPr>
          <w:b/>
          <w:bCs/>
          <w:sz w:val="24"/>
          <w:szCs w:val="24"/>
        </w:rPr>
      </w:pPr>
      <w:r>
        <w:rPr>
          <w:b/>
          <w:bCs/>
          <w:sz w:val="24"/>
          <w:szCs w:val="24"/>
        </w:rPr>
        <w:t>Čl. 4</w:t>
      </w:r>
    </w:p>
    <w:p>
      <w:pPr>
        <w:pStyle w:val="UvodniVeta"/>
        <w:jc w:val="center"/>
        <w:rPr>
          <w:b/>
          <w:bCs/>
          <w:sz w:val="24"/>
          <w:szCs w:val="24"/>
        </w:rPr>
      </w:pPr>
      <w:r>
        <w:rPr>
          <w:b/>
          <w:bCs/>
          <w:sz w:val="24"/>
          <w:szCs w:val="24"/>
        </w:rPr>
        <w:t>Zrušovací ustanovení</w:t>
      </w:r>
    </w:p>
    <w:p>
      <w:pPr>
        <w:pStyle w:val="UvodniVeta"/>
        <w:rPr/>
      </w:pPr>
      <w:r>
        <w:rPr/>
        <w:t>Touto vyhláškou se zrušuje obecně závazná vyhláška obce Střítež č.1/2024 o nočním klidu vydaná dne 24.května 2024</w:t>
      </w:r>
    </w:p>
    <w:p>
      <w:pPr>
        <w:pStyle w:val="UvodniVeta"/>
        <w:spacing w:before="5" w:after="63"/>
        <w:jc w:val="center"/>
        <w:rPr>
          <w:b/>
          <w:bCs/>
          <w:sz w:val="24"/>
          <w:szCs w:val="24"/>
        </w:rPr>
      </w:pPr>
      <w:r>
        <w:rPr>
          <w:b/>
          <w:bCs/>
          <w:sz w:val="24"/>
          <w:szCs w:val="24"/>
        </w:rPr>
      </w:r>
    </w:p>
    <w:p>
      <w:pPr>
        <w:pStyle w:val="UvodniVeta"/>
        <w:spacing w:before="5" w:after="63"/>
        <w:jc w:val="center"/>
        <w:rPr>
          <w:b/>
          <w:bCs/>
          <w:sz w:val="24"/>
          <w:szCs w:val="24"/>
        </w:rPr>
      </w:pPr>
      <w:r>
        <w:rPr>
          <w:b/>
          <w:bCs/>
          <w:sz w:val="24"/>
          <w:szCs w:val="24"/>
        </w:rPr>
        <w:t>Čl. 5</w:t>
      </w:r>
    </w:p>
    <w:p>
      <w:pPr>
        <w:pStyle w:val="UvodniVeta"/>
        <w:spacing w:before="5" w:after="63"/>
        <w:jc w:val="center"/>
        <w:rPr>
          <w:b/>
          <w:bCs/>
          <w:sz w:val="24"/>
          <w:szCs w:val="24"/>
        </w:rPr>
      </w:pPr>
      <w:r>
        <w:rPr>
          <w:b/>
          <w:bCs/>
          <w:sz w:val="24"/>
          <w:szCs w:val="24"/>
        </w:rPr>
        <w:t>Účinnost</w:t>
      </w:r>
    </w:p>
    <w:p>
      <w:pPr>
        <w:pStyle w:val="UvodniVeta"/>
        <w:rPr/>
      </w:pPr>
      <w:r>
        <w:rPr/>
        <w:t>Tato obecně závazná vyhláška nabývá účinnosti patnáctým dnem po dni vyhlášení.</w:t>
      </w:r>
    </w:p>
    <w:tbl>
      <w:tblPr>
        <w:tblW w:w="9641" w:type="dxa"/>
        <w:jc w:val="left"/>
        <w:tblInd w:w="0" w:type="dxa"/>
        <w:tblLayout w:type="fixed"/>
        <w:tblCellMar>
          <w:top w:w="55" w:type="dxa"/>
          <w:left w:w="55" w:type="dxa"/>
          <w:bottom w:w="55" w:type="dxa"/>
          <w:right w:w="55" w:type="dxa"/>
        </w:tblCellMar>
        <w:tblLook w:val="04a0" w:noHBand="0" w:noVBand="1" w:firstColumn="1" w:lastRow="0" w:lastColumn="0" w:firstRow="1"/>
      </w:tblPr>
      <w:tblGrid>
        <w:gridCol w:w="4820"/>
        <w:gridCol w:w="4820"/>
      </w:tblGrid>
      <w:tr>
        <w:trPr>
          <w:trHeight w:val="1134" w:hRule="exact"/>
        </w:trPr>
        <w:tc>
          <w:tcPr>
            <w:tcW w:w="4820" w:type="dxa"/>
            <w:tcBorders/>
            <w:vAlign w:val="bottom"/>
          </w:tcPr>
          <w:p>
            <w:pPr>
              <w:pStyle w:val="PodpisovePole"/>
              <w:rPr/>
            </w:pPr>
            <w:r>
              <w:rPr/>
              <w:t>ing. Jaromír Vykypěl v. r.</w:t>
            </w:r>
          </w:p>
          <w:p>
            <w:pPr>
              <w:pStyle w:val="PodpisovePole"/>
              <w:rPr/>
            </w:pPr>
            <w:r>
              <w:rPr/>
              <w:t xml:space="preserve"> </w:t>
            </w:r>
            <w:r>
              <w:rPr/>
              <w:t>starosta</w:t>
            </w:r>
          </w:p>
        </w:tc>
        <w:tc>
          <w:tcPr>
            <w:tcW w:w="4820" w:type="dxa"/>
            <w:tcBorders/>
            <w:vAlign w:val="bottom"/>
          </w:tcPr>
          <w:p>
            <w:pPr>
              <w:pStyle w:val="PodpisovePole"/>
              <w:rPr/>
            </w:pPr>
            <w:r>
              <w:rPr/>
              <w:t>Josef Chocholáč v. r.</w:t>
              <w:br/>
              <w:t xml:space="preserve"> místostarosta</w:t>
            </w:r>
          </w:p>
        </w:tc>
      </w:tr>
      <w:tr>
        <w:trPr>
          <w:trHeight w:val="1134" w:hRule="exact"/>
        </w:trPr>
        <w:tc>
          <w:tcPr>
            <w:tcW w:w="4820" w:type="dxa"/>
            <w:tcBorders/>
            <w:vAlign w:val="bottom"/>
          </w:tcPr>
          <w:p>
            <w:pPr>
              <w:pStyle w:val="PodpisovePole"/>
              <w:rPr/>
            </w:pPr>
            <w:r>
              <w:rPr/>
            </w:r>
          </w:p>
        </w:tc>
        <w:tc>
          <w:tcPr>
            <w:tcW w:w="4820" w:type="dxa"/>
            <w:tcBorders/>
            <w:vAlign w:val="bottom"/>
          </w:tcPr>
          <w:p>
            <w:pPr>
              <w:pStyle w:val="PodpisovePole"/>
              <w:rPr/>
            </w:pPr>
            <w:r>
              <w:rPr/>
            </w:r>
          </w:p>
        </w:tc>
      </w:tr>
    </w:tbl>
    <w:p>
      <w:pPr>
        <w:pStyle w:val="Normal"/>
        <w:rPr>
          <w:rFonts w:ascii="Arial" w:hAnsi="Arial" w:cs="Arial"/>
        </w:rPr>
      </w:pPr>
      <w:r>
        <w:rPr>
          <w:rFonts w:cs="Arial" w:ascii="Arial" w:hAnsi="Arial"/>
        </w:rPr>
      </w:r>
    </w:p>
    <w:sectPr>
      <w:footnotePr>
        <w:numFmt w:val="decimal"/>
      </w:footnote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UvodniVeta"/>
        <w:spacing w:before="62" w:after="120"/>
        <w:rPr>
          <w:sz w:val="20"/>
          <w:szCs w:val="20"/>
        </w:rPr>
      </w:pPr>
      <w:r>
        <w:rPr>
          <w:rStyle w:val="Znakypropoznmkupodarou"/>
        </w:rPr>
        <w:footnoteRef/>
      </w:r>
      <w:r>
        <w:rPr>
          <w:sz w:val="20"/>
          <w:szCs w:val="20"/>
        </w:rPr>
        <w:t xml:space="preserve"> </w:t>
      </w:r>
      <w:r>
        <w:rPr>
          <w:sz w:val="20"/>
          <w:szCs w:val="20"/>
        </w:rPr>
        <w:t>dle ustanovení § 5 odst. 7 zákona č. 251/2016 Sb., o některých přestupcích, platí, že:</w:t>
      </w:r>
      <w:r>
        <w:rPr>
          <w:i/>
          <w:iCs/>
          <w:sz w:val="20"/>
          <w:szCs w:val="20"/>
        </w:rPr>
        <w:t xml:space="preserve"> „Dobou nočního klidu se rozumí doba od dvacáté druhé do šesté hodiny. Obec může obecně závaznou vyhláškou stanovit výjimečné případy, zejména slavnosti nebo obdobné společenské nebo rodinné akce, při nichž je doba nočního klidu vymezena dobou kratší, nebo při nichž nemusí být doba nočního klidu dodržována“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lowerLetter"/>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cs-CZ"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textAlignment w:val="baseline"/>
    </w:pPr>
    <w:rPr>
      <w:rFonts w:ascii="Liberation Serif" w:hAnsi="Liberation Serif" w:eastAsia="Songti SC" w:cs="Arial Unicode MS"/>
      <w:color w:val="auto"/>
      <w:kern w:val="2"/>
      <w:sz w:val="24"/>
      <w:szCs w:val="24"/>
      <w:lang w:val="cs-CZ" w:eastAsia="zh-CN" w:bidi="hi-IN"/>
    </w:rPr>
  </w:style>
  <w:style w:type="paragraph" w:styleId="Heading1">
    <w:name w:val="Heading 1"/>
    <w:basedOn w:val="Nadpis"/>
    <w:next w:val="BodyText"/>
    <w:uiPriority w:val="9"/>
    <w:qFormat/>
    <w:pPr>
      <w:numPr>
        <w:ilvl w:val="0"/>
        <w:numId w:val="1"/>
      </w:numPr>
      <w:spacing w:before="238" w:after="238"/>
      <w:jc w:val="center"/>
      <w:outlineLvl w:val="0"/>
    </w:pPr>
    <w:rPr>
      <w:b/>
      <w:bCs/>
      <w:sz w:val="24"/>
      <w:szCs w:val="24"/>
    </w:rPr>
  </w:style>
  <w:style w:type="paragraph" w:styleId="Heading2">
    <w:name w:val="Heading 2"/>
    <w:basedOn w:val="Nadpis"/>
    <w:next w:val="BodyText"/>
    <w:uiPriority w:val="9"/>
    <w:semiHidden/>
    <w:unhideWhenUsed/>
    <w:qFormat/>
    <w:pPr>
      <w:numPr>
        <w:ilvl w:val="1"/>
        <w:numId w:val="1"/>
      </w:numPr>
      <w:spacing w:lineRule="auto" w:line="276" w:before="360" w:after="0"/>
      <w:jc w:val="center"/>
      <w:outlineLvl w:val="1"/>
    </w:pPr>
    <w:rPr>
      <w:b/>
      <w:bCs/>
      <w:sz w:val="24"/>
      <w:szCs w:val="24"/>
    </w:rPr>
  </w:style>
  <w:style w:type="character" w:styleId="DefaultParagraphFont" w:default="1">
    <w:name w:val="Default Paragraph Font"/>
    <w:uiPriority w:val="1"/>
    <w:semiHidden/>
    <w:unhideWhenUsed/>
    <w:qFormat/>
    <w:rPr/>
  </w:style>
  <w:style w:type="character" w:styleId="Symbolyproslovn" w:customStyle="1">
    <w:name w:val="Symboly pro číslování"/>
    <w:qFormat/>
    <w:rPr/>
  </w:style>
  <w:style w:type="character" w:styleId="Znakypropoznmkupodarou" w:customStyle="1">
    <w:name w:val="Znaky pro poznámku pod čarou"/>
    <w:qFormat/>
    <w:rPr/>
  </w:style>
  <w:style w:type="character" w:styleId="FootnoteReference" w:customStyle="1">
    <w:name w:val="Footnote Reference"/>
    <w:qFormat/>
    <w:rPr>
      <w:vertAlign w:val="superscript"/>
    </w:rPr>
  </w:style>
  <w:style w:type="character" w:styleId="FootnoteCharacters">
    <w:name w:val="Footnote Characters"/>
    <w:basedOn w:val="DefaultParagraphFont"/>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Znakyprovysvtlivky" w:customStyle="1">
    <w:name w:val="Znaky pro vysvětlivky"/>
    <w:qFormat/>
    <w:rPr/>
  </w:style>
  <w:style w:type="paragraph" w:styleId="Nadpis" w:customStyle="1">
    <w:name w:val="Nadpis"/>
    <w:basedOn w:val="Normal"/>
    <w:next w:val="BodyText"/>
    <w:qFormat/>
    <w:pPr>
      <w:keepNext w:val="true"/>
      <w:spacing w:before="240" w:after="120"/>
    </w:pPr>
    <w:rPr>
      <w:rFonts w:ascii="Arial" w:hAnsi="Arial" w:eastAsia="PingFang SC" w:cs="Arial"/>
      <w:sz w:val="28"/>
      <w:szCs w:val="28"/>
    </w:rPr>
  </w:style>
  <w:style w:type="paragraph" w:styleId="BodyText">
    <w:name w:val="Body Text"/>
    <w:basedOn w:val="Normal"/>
    <w:pPr>
      <w:spacing w:lineRule="auto" w:line="276" w:before="0" w:after="140"/>
    </w:pPr>
    <w:rPr>
      <w:rFonts w:ascii="Arial" w:hAnsi="Arial" w:eastAsia="Arial" w:cs="Arial"/>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i/>
      <w:iCs/>
    </w:rPr>
  </w:style>
  <w:style w:type="paragraph" w:styleId="Rejstk" w:customStyle="1">
    <w:name w:val="Rejstřík"/>
    <w:basedOn w:val="Normal"/>
    <w:qFormat/>
    <w:pPr>
      <w:suppressLineNumbers/>
    </w:pPr>
    <w:rPr/>
  </w:style>
  <w:style w:type="paragraph" w:styleId="Title">
    <w:name w:val="Title"/>
    <w:basedOn w:val="Nadpis"/>
    <w:next w:val="BodyText"/>
    <w:uiPriority w:val="10"/>
    <w:qFormat/>
    <w:pPr>
      <w:jc w:val="center"/>
    </w:pPr>
    <w:rPr>
      <w:b/>
      <w:bCs/>
      <w:sz w:val="24"/>
      <w:szCs w:val="24"/>
    </w:rPr>
  </w:style>
  <w:style w:type="paragraph" w:styleId="UvodniVeta" w:customStyle="1">
    <w:name w:val="UvodniVeta"/>
    <w:basedOn w:val="BodyText"/>
    <w:qFormat/>
    <w:pPr>
      <w:spacing w:before="62" w:after="120"/>
      <w:jc w:val="both"/>
    </w:pPr>
    <w:rPr>
      <w:sz w:val="22"/>
      <w:szCs w:val="22"/>
    </w:rPr>
  </w:style>
  <w:style w:type="paragraph" w:styleId="Odstavec" w:customStyle="1">
    <w:name w:val="Odstavec"/>
    <w:basedOn w:val="BodyText"/>
    <w:qFormat/>
    <w:pPr>
      <w:tabs>
        <w:tab w:val="clear" w:pos="709"/>
        <w:tab w:val="left" w:pos="567" w:leader="none"/>
      </w:tabs>
      <w:spacing w:before="0" w:after="120"/>
      <w:jc w:val="both"/>
    </w:pPr>
    <w:rPr>
      <w:sz w:val="22"/>
      <w:szCs w:val="22"/>
    </w:rPr>
  </w:style>
  <w:style w:type="paragraph" w:styleId="Obsahtabulky" w:customStyle="1">
    <w:name w:val="Obsah tabulky"/>
    <w:basedOn w:val="Normal"/>
    <w:qFormat/>
    <w:pPr>
      <w:widowControl w:val="false"/>
      <w:suppressLineNumbers/>
    </w:pPr>
    <w:rPr/>
  </w:style>
  <w:style w:type="paragraph" w:styleId="PodpisovePole" w:customStyle="1">
    <w:name w:val="PodpisovePole"/>
    <w:basedOn w:val="Obsahtabulky"/>
    <w:qFormat/>
    <w:pPr>
      <w:jc w:val="center"/>
    </w:pPr>
    <w:rPr>
      <w:rFonts w:ascii="Arial" w:hAnsi="Arial" w:eastAsia="Arial" w:cs="Arial"/>
      <w:sz w:val="22"/>
      <w:szCs w:val="22"/>
    </w:rPr>
  </w:style>
  <w:style w:type="paragraph" w:styleId="FootnoteText">
    <w:name w:val="Footnote Text"/>
    <w:basedOn w:val="Normal"/>
    <w:pPr>
      <w:suppressLineNumbers/>
      <w:ind w:hanging="170" w:left="170"/>
    </w:pPr>
    <w:rPr>
      <w:rFonts w:ascii="Arial" w:hAnsi="Arial" w:eastAsia="Arial" w:cs="Arial"/>
      <w:sz w:val="18"/>
      <w:szCs w:val="18"/>
    </w:rPr>
  </w:style>
  <w:style w:type="numbering" w:styleId="Bezseznamu" w:default="1">
    <w:name w:val="Bez seznamu"/>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LibreOffice/24.2.4.2$Linux_X86_64 LibreOffice_project/420$Build-2</Application>
  <AppVersion>15.0000</AppVersion>
  <Pages>2</Pages>
  <Words>449</Words>
  <Characters>2240</Characters>
  <CharactersWithSpaces>2652</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2024-06-18T08:21:00Z</dcterms:created>
  <dc:creator>starosta</dc:creator>
  <dc:description/>
  <dc:language>cs-CZ</dc:language>
  <cp:lastModifiedBy>starosta</cp:lastModifiedBy>
  <cp:lastPrinted>2024-05-25T14:02:00Z</cp:lastPrinted>
  <dcterms:modified xsi:type="dcterms:W3CDTF">2024-06-18T08:23:00Z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